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303" w:rsidRPr="00E05303" w:rsidRDefault="00E05303" w:rsidP="003909F6">
      <w:pPr>
        <w:jc w:val="center"/>
        <w:rPr>
          <w:b/>
          <w:bCs/>
          <w:sz w:val="22"/>
          <w:szCs w:val="24"/>
          <w:u w:val="single"/>
        </w:rPr>
      </w:pPr>
    </w:p>
    <w:p w:rsidR="00F307ED" w:rsidRDefault="00F307ED" w:rsidP="003909F6">
      <w:pPr>
        <w:jc w:val="center"/>
        <w:rPr>
          <w:b/>
          <w:bCs/>
          <w:sz w:val="28"/>
          <w:szCs w:val="24"/>
          <w:u w:val="single"/>
        </w:rPr>
      </w:pPr>
      <w:r w:rsidRPr="005E47AD">
        <w:rPr>
          <w:b/>
          <w:bCs/>
          <w:noProof/>
          <w:sz w:val="28"/>
          <w:szCs w:val="24"/>
          <w:highlight w:val="darkGray"/>
          <w:u w:val="single"/>
        </w:rPr>
        <w:drawing>
          <wp:inline distT="0" distB="0" distL="0" distR="0">
            <wp:extent cx="3638550" cy="1333500"/>
            <wp:effectExtent l="266700" t="266700" r="247650" b="228600"/>
            <wp:docPr id="1" name="Picture 21" descr="C:\Documents and Settings\cotnambj.NSUARB\My Documents\My Pictures\Logos\NSU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cotnambj.NSUARB\My Documents\My Pictures\Logos\NSURB.JPG"/>
                    <pic:cNvPicPr>
                      <a:picLocks noChangeAspect="1" noChangeArrowheads="1"/>
                    </pic:cNvPicPr>
                  </pic:nvPicPr>
                  <pic:blipFill>
                    <a:blip r:embed="rId7" cstate="print"/>
                    <a:srcRect r="2435" b="6040"/>
                    <a:stretch>
                      <a:fillRect/>
                    </a:stretch>
                  </pic:blipFill>
                  <pic:spPr bwMode="auto">
                    <a:xfrm>
                      <a:off x="0" y="0"/>
                      <a:ext cx="3638550" cy="13335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F307ED" w:rsidRPr="00E05303" w:rsidRDefault="00F307ED" w:rsidP="003909F6">
      <w:pPr>
        <w:jc w:val="center"/>
        <w:rPr>
          <w:b/>
          <w:bCs/>
          <w:sz w:val="22"/>
          <w:szCs w:val="32"/>
          <w:u w:val="single"/>
        </w:rPr>
      </w:pPr>
    </w:p>
    <w:p w:rsidR="00F307ED" w:rsidRPr="00E05303" w:rsidRDefault="00F307ED" w:rsidP="003909F6">
      <w:pPr>
        <w:jc w:val="center"/>
        <w:rPr>
          <w:b/>
          <w:bCs/>
          <w:sz w:val="22"/>
          <w:szCs w:val="32"/>
          <w:u w:val="single"/>
        </w:rPr>
      </w:pPr>
    </w:p>
    <w:p w:rsidR="00972401" w:rsidRPr="00F307ED" w:rsidRDefault="00F307ED" w:rsidP="003909F6">
      <w:pPr>
        <w:jc w:val="center"/>
        <w:rPr>
          <w:sz w:val="32"/>
          <w:szCs w:val="32"/>
          <w:u w:val="single"/>
        </w:rPr>
      </w:pPr>
      <w:r w:rsidRPr="00F307ED">
        <w:rPr>
          <w:b/>
          <w:bCs/>
          <w:sz w:val="32"/>
          <w:szCs w:val="32"/>
          <w:u w:val="single"/>
        </w:rPr>
        <w:t>201</w:t>
      </w:r>
      <w:r w:rsidR="004F76C3">
        <w:rPr>
          <w:b/>
          <w:bCs/>
          <w:sz w:val="32"/>
          <w:szCs w:val="32"/>
          <w:u w:val="single"/>
        </w:rPr>
        <w:t>8</w:t>
      </w:r>
      <w:r w:rsidRPr="00F307ED">
        <w:rPr>
          <w:b/>
          <w:bCs/>
          <w:sz w:val="32"/>
          <w:szCs w:val="32"/>
          <w:u w:val="single"/>
        </w:rPr>
        <w:t xml:space="preserve"> CLEAR Benchmark Base Rate Adjustments</w:t>
      </w:r>
    </w:p>
    <w:p w:rsidR="00F307ED" w:rsidRDefault="00F307ED" w:rsidP="003909F6">
      <w:pPr>
        <w:rPr>
          <w:color w:val="000000"/>
          <w:sz w:val="22"/>
          <w:szCs w:val="22"/>
        </w:rPr>
      </w:pPr>
    </w:p>
    <w:p w:rsidR="003909F6" w:rsidRPr="00F307ED" w:rsidRDefault="003909F6" w:rsidP="00E05303">
      <w:pPr>
        <w:spacing w:before="120"/>
        <w:jc w:val="both"/>
        <w:rPr>
          <w:color w:val="000000"/>
          <w:sz w:val="24"/>
          <w:szCs w:val="24"/>
        </w:rPr>
      </w:pPr>
      <w:r w:rsidRPr="005E47AD">
        <w:rPr>
          <w:color w:val="000000"/>
          <w:sz w:val="24"/>
          <w:szCs w:val="24"/>
        </w:rPr>
        <w:t xml:space="preserve">The Nova Scotia Utility and Review Board (Board) </w:t>
      </w:r>
      <w:r w:rsidR="004F7E96" w:rsidRPr="005E47AD">
        <w:rPr>
          <w:color w:val="000000"/>
          <w:sz w:val="24"/>
          <w:szCs w:val="24"/>
        </w:rPr>
        <w:t xml:space="preserve">on </w:t>
      </w:r>
      <w:r w:rsidR="00242327" w:rsidRPr="00E05303">
        <w:rPr>
          <w:color w:val="000000"/>
          <w:sz w:val="24"/>
          <w:szCs w:val="24"/>
        </w:rPr>
        <w:t>February</w:t>
      </w:r>
      <w:r w:rsidR="00C123BC" w:rsidRPr="00E05303">
        <w:rPr>
          <w:color w:val="000000"/>
          <w:sz w:val="24"/>
          <w:szCs w:val="24"/>
        </w:rPr>
        <w:t xml:space="preserve"> </w:t>
      </w:r>
      <w:r w:rsidR="002D657C">
        <w:rPr>
          <w:color w:val="000000"/>
          <w:sz w:val="24"/>
          <w:szCs w:val="24"/>
        </w:rPr>
        <w:t>20</w:t>
      </w:r>
      <w:bookmarkStart w:id="0" w:name="_GoBack"/>
      <w:bookmarkEnd w:id="0"/>
      <w:r w:rsidR="004F7E96" w:rsidRPr="00E05303">
        <w:rPr>
          <w:color w:val="000000"/>
          <w:sz w:val="24"/>
          <w:szCs w:val="24"/>
        </w:rPr>
        <w:t>, 201</w:t>
      </w:r>
      <w:r w:rsidR="004F76C3" w:rsidRPr="00E05303">
        <w:rPr>
          <w:color w:val="000000"/>
          <w:sz w:val="24"/>
          <w:szCs w:val="24"/>
        </w:rPr>
        <w:t>8</w:t>
      </w:r>
      <w:r w:rsidR="004F7E96" w:rsidRPr="005E47AD">
        <w:rPr>
          <w:color w:val="000000"/>
          <w:sz w:val="24"/>
          <w:szCs w:val="24"/>
        </w:rPr>
        <w:t xml:space="preserve"> </w:t>
      </w:r>
      <w:r w:rsidRPr="005E47AD">
        <w:rPr>
          <w:color w:val="000000"/>
          <w:sz w:val="24"/>
          <w:szCs w:val="24"/>
        </w:rPr>
        <w:t>approved the 201</w:t>
      </w:r>
      <w:r w:rsidR="004F76C3">
        <w:rPr>
          <w:color w:val="000000"/>
          <w:sz w:val="24"/>
          <w:szCs w:val="24"/>
        </w:rPr>
        <w:t>8</w:t>
      </w:r>
      <w:r w:rsidRPr="005E47AD">
        <w:rPr>
          <w:color w:val="000000"/>
          <w:sz w:val="24"/>
          <w:szCs w:val="24"/>
        </w:rPr>
        <w:t xml:space="preserve"> CLEAR tables </w:t>
      </w:r>
      <w:r w:rsidR="004A7755" w:rsidRPr="005E47AD">
        <w:rPr>
          <w:color w:val="000000"/>
          <w:sz w:val="24"/>
          <w:szCs w:val="24"/>
        </w:rPr>
        <w:t xml:space="preserve">(AB Alberta &amp; Atlantic version) </w:t>
      </w:r>
      <w:r w:rsidRPr="005E47AD">
        <w:rPr>
          <w:color w:val="000000"/>
          <w:sz w:val="24"/>
          <w:szCs w:val="24"/>
        </w:rPr>
        <w:t>published by th</w:t>
      </w:r>
      <w:r w:rsidR="00EC79B8" w:rsidRPr="005E47AD">
        <w:rPr>
          <w:color w:val="000000"/>
          <w:sz w:val="24"/>
          <w:szCs w:val="24"/>
        </w:rPr>
        <w:t>e Insurance Bureau of Canada (I</w:t>
      </w:r>
      <w:r w:rsidRPr="005E47AD">
        <w:rPr>
          <w:color w:val="000000"/>
          <w:sz w:val="24"/>
          <w:szCs w:val="24"/>
        </w:rPr>
        <w:t>BC) for use in Nova Scotia</w:t>
      </w:r>
      <w:r w:rsidR="004F7E96" w:rsidRPr="005E47AD">
        <w:rPr>
          <w:color w:val="000000"/>
          <w:sz w:val="24"/>
          <w:szCs w:val="24"/>
        </w:rPr>
        <w:t>.</w:t>
      </w:r>
      <w:r w:rsidR="004F7E96" w:rsidRPr="00F307ED">
        <w:rPr>
          <w:color w:val="000000"/>
          <w:sz w:val="24"/>
          <w:szCs w:val="24"/>
        </w:rPr>
        <w:t xml:space="preserve"> </w:t>
      </w:r>
    </w:p>
    <w:p w:rsidR="003909F6" w:rsidRPr="00F307ED" w:rsidRDefault="003909F6" w:rsidP="00892032">
      <w:pPr>
        <w:jc w:val="both"/>
        <w:rPr>
          <w:color w:val="000000"/>
          <w:sz w:val="24"/>
          <w:szCs w:val="24"/>
        </w:rPr>
      </w:pPr>
    </w:p>
    <w:p w:rsidR="00F307ED" w:rsidRPr="00F307ED" w:rsidRDefault="00F307ED" w:rsidP="00892032">
      <w:pPr>
        <w:jc w:val="both"/>
        <w:rPr>
          <w:color w:val="000000"/>
          <w:sz w:val="24"/>
          <w:szCs w:val="24"/>
        </w:rPr>
      </w:pPr>
      <w:r w:rsidRPr="00F307ED">
        <w:rPr>
          <w:color w:val="000000"/>
          <w:sz w:val="24"/>
          <w:szCs w:val="24"/>
        </w:rPr>
        <w:t>The Board used the following rate group drift (estimated by the IBC) and loss trends for physical damage coverages to develop and approve the CLEAR Benchmark Base Rate Adjustments to move to the 201</w:t>
      </w:r>
      <w:r w:rsidR="0034777D">
        <w:rPr>
          <w:color w:val="000000"/>
          <w:sz w:val="24"/>
          <w:szCs w:val="24"/>
        </w:rPr>
        <w:t>8</w:t>
      </w:r>
      <w:r w:rsidRPr="00F307ED">
        <w:rPr>
          <w:color w:val="000000"/>
          <w:sz w:val="24"/>
          <w:szCs w:val="24"/>
        </w:rPr>
        <w:t xml:space="preserve"> table:</w:t>
      </w:r>
    </w:p>
    <w:p w:rsidR="00F307ED" w:rsidRPr="00F307ED" w:rsidRDefault="00F307ED" w:rsidP="00F307ED">
      <w:pPr>
        <w:rPr>
          <w:color w:val="000000"/>
          <w:sz w:val="24"/>
          <w:szCs w:val="24"/>
        </w:rPr>
      </w:pPr>
    </w:p>
    <w:tbl>
      <w:tblPr>
        <w:tblW w:w="9495" w:type="dxa"/>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0A0" w:firstRow="1" w:lastRow="0" w:firstColumn="1" w:lastColumn="0" w:noHBand="0" w:noVBand="0"/>
      </w:tblPr>
      <w:tblGrid>
        <w:gridCol w:w="2808"/>
        <w:gridCol w:w="1657"/>
        <w:gridCol w:w="1920"/>
        <w:gridCol w:w="3110"/>
      </w:tblGrid>
      <w:tr w:rsidR="00F307ED" w:rsidRPr="00F307ED" w:rsidTr="008B55EA">
        <w:trPr>
          <w:jc w:val="center"/>
        </w:trPr>
        <w:tc>
          <w:tcPr>
            <w:tcW w:w="2808" w:type="dxa"/>
            <w:tcBorders>
              <w:top w:val="thickThinSmallGap" w:sz="24" w:space="0" w:color="auto"/>
              <w:bottom w:val="single" w:sz="6" w:space="0" w:color="auto"/>
            </w:tcBorders>
          </w:tcPr>
          <w:p w:rsidR="00F307ED" w:rsidRPr="00F307ED" w:rsidRDefault="00F307ED" w:rsidP="004A0DD8">
            <w:pPr>
              <w:rPr>
                <w:b/>
                <w:sz w:val="24"/>
                <w:szCs w:val="24"/>
              </w:rPr>
            </w:pPr>
          </w:p>
          <w:p w:rsidR="00F307ED" w:rsidRPr="00F307ED" w:rsidRDefault="00F307ED" w:rsidP="004A0DD8">
            <w:pPr>
              <w:rPr>
                <w:b/>
                <w:sz w:val="24"/>
                <w:szCs w:val="24"/>
              </w:rPr>
            </w:pPr>
          </w:p>
          <w:p w:rsidR="00F307ED" w:rsidRPr="00F307ED" w:rsidRDefault="00F307ED" w:rsidP="004A0DD8">
            <w:pPr>
              <w:rPr>
                <w:b/>
                <w:sz w:val="24"/>
                <w:szCs w:val="24"/>
              </w:rPr>
            </w:pPr>
          </w:p>
          <w:p w:rsidR="00F307ED" w:rsidRPr="00F307ED" w:rsidRDefault="00F307ED" w:rsidP="004A0DD8">
            <w:pPr>
              <w:rPr>
                <w:b/>
                <w:sz w:val="24"/>
                <w:szCs w:val="24"/>
              </w:rPr>
            </w:pPr>
            <w:r w:rsidRPr="00F307ED">
              <w:rPr>
                <w:b/>
                <w:sz w:val="24"/>
                <w:szCs w:val="24"/>
              </w:rPr>
              <w:t>Coverages</w:t>
            </w:r>
          </w:p>
        </w:tc>
        <w:tc>
          <w:tcPr>
            <w:tcW w:w="1657" w:type="dxa"/>
            <w:tcBorders>
              <w:top w:val="thickThinSmallGap" w:sz="24" w:space="0" w:color="auto"/>
              <w:bottom w:val="single" w:sz="6" w:space="0" w:color="auto"/>
            </w:tcBorders>
          </w:tcPr>
          <w:p w:rsidR="00F307ED" w:rsidRPr="00F307ED" w:rsidRDefault="00F307ED" w:rsidP="004A0DD8">
            <w:pPr>
              <w:jc w:val="center"/>
              <w:rPr>
                <w:b/>
                <w:sz w:val="24"/>
                <w:szCs w:val="24"/>
              </w:rPr>
            </w:pPr>
          </w:p>
          <w:p w:rsidR="00F307ED" w:rsidRPr="00F307ED" w:rsidRDefault="00F307ED" w:rsidP="004A0DD8">
            <w:pPr>
              <w:jc w:val="center"/>
              <w:rPr>
                <w:b/>
                <w:sz w:val="24"/>
                <w:szCs w:val="24"/>
              </w:rPr>
            </w:pPr>
          </w:p>
          <w:p w:rsidR="00F307ED" w:rsidRPr="00F307ED" w:rsidRDefault="00F307ED" w:rsidP="004A0DD8">
            <w:pPr>
              <w:jc w:val="center"/>
              <w:rPr>
                <w:b/>
                <w:sz w:val="24"/>
                <w:szCs w:val="24"/>
              </w:rPr>
            </w:pPr>
            <w:r w:rsidRPr="00F307ED">
              <w:rPr>
                <w:b/>
                <w:sz w:val="24"/>
                <w:szCs w:val="24"/>
              </w:rPr>
              <w:t>Rate Group Drift</w:t>
            </w:r>
          </w:p>
        </w:tc>
        <w:tc>
          <w:tcPr>
            <w:tcW w:w="1920" w:type="dxa"/>
            <w:tcBorders>
              <w:top w:val="thickThinSmallGap" w:sz="24" w:space="0" w:color="auto"/>
              <w:bottom w:val="single" w:sz="6" w:space="0" w:color="auto"/>
            </w:tcBorders>
          </w:tcPr>
          <w:p w:rsidR="00F307ED" w:rsidRPr="00F307ED" w:rsidRDefault="00F307ED" w:rsidP="004A0DD8">
            <w:pPr>
              <w:jc w:val="center"/>
              <w:rPr>
                <w:b/>
                <w:sz w:val="24"/>
                <w:szCs w:val="24"/>
              </w:rPr>
            </w:pPr>
          </w:p>
          <w:p w:rsidR="00F307ED" w:rsidRPr="00F307ED" w:rsidRDefault="00F307ED" w:rsidP="004A0DD8">
            <w:pPr>
              <w:jc w:val="center"/>
              <w:rPr>
                <w:b/>
                <w:sz w:val="24"/>
                <w:szCs w:val="24"/>
              </w:rPr>
            </w:pPr>
          </w:p>
          <w:p w:rsidR="00F307ED" w:rsidRPr="00F307ED" w:rsidRDefault="00F307ED" w:rsidP="004A0DD8">
            <w:pPr>
              <w:jc w:val="center"/>
              <w:rPr>
                <w:b/>
                <w:sz w:val="24"/>
                <w:szCs w:val="24"/>
              </w:rPr>
            </w:pPr>
            <w:r w:rsidRPr="00F307ED">
              <w:rPr>
                <w:b/>
                <w:sz w:val="24"/>
                <w:szCs w:val="24"/>
              </w:rPr>
              <w:t>Benchmark Loss Trend</w:t>
            </w:r>
          </w:p>
        </w:tc>
        <w:tc>
          <w:tcPr>
            <w:tcW w:w="3110" w:type="dxa"/>
            <w:tcBorders>
              <w:top w:val="thickThinSmallGap" w:sz="24" w:space="0" w:color="auto"/>
              <w:bottom w:val="single" w:sz="6" w:space="0" w:color="auto"/>
            </w:tcBorders>
          </w:tcPr>
          <w:p w:rsidR="008B55EA" w:rsidRDefault="00F307ED" w:rsidP="00242327">
            <w:pPr>
              <w:jc w:val="center"/>
              <w:rPr>
                <w:b/>
                <w:sz w:val="24"/>
                <w:szCs w:val="24"/>
              </w:rPr>
            </w:pPr>
            <w:r w:rsidRPr="00F307ED">
              <w:rPr>
                <w:b/>
                <w:sz w:val="24"/>
                <w:szCs w:val="24"/>
              </w:rPr>
              <w:t>Benchmark Base Rate Adjustment to move from the 20</w:t>
            </w:r>
            <w:r w:rsidR="004A7755">
              <w:rPr>
                <w:b/>
                <w:sz w:val="24"/>
                <w:szCs w:val="24"/>
              </w:rPr>
              <w:t>1</w:t>
            </w:r>
            <w:r w:rsidR="008B55EA">
              <w:rPr>
                <w:b/>
                <w:sz w:val="24"/>
                <w:szCs w:val="24"/>
              </w:rPr>
              <w:t>7</w:t>
            </w:r>
            <w:r w:rsidRPr="00F307ED">
              <w:rPr>
                <w:b/>
                <w:sz w:val="24"/>
                <w:szCs w:val="24"/>
              </w:rPr>
              <w:t xml:space="preserve"> to the </w:t>
            </w:r>
          </w:p>
          <w:p w:rsidR="00F307ED" w:rsidRPr="00F307ED" w:rsidRDefault="00F307ED" w:rsidP="00242327">
            <w:pPr>
              <w:jc w:val="center"/>
              <w:rPr>
                <w:b/>
                <w:sz w:val="24"/>
                <w:szCs w:val="24"/>
              </w:rPr>
            </w:pPr>
            <w:r w:rsidRPr="00F307ED">
              <w:rPr>
                <w:b/>
                <w:sz w:val="24"/>
                <w:szCs w:val="24"/>
              </w:rPr>
              <w:t>201</w:t>
            </w:r>
            <w:r w:rsidR="008B55EA">
              <w:rPr>
                <w:b/>
                <w:sz w:val="24"/>
                <w:szCs w:val="24"/>
              </w:rPr>
              <w:t>8</w:t>
            </w:r>
            <w:r w:rsidRPr="00F307ED">
              <w:rPr>
                <w:b/>
                <w:sz w:val="24"/>
                <w:szCs w:val="24"/>
              </w:rPr>
              <w:t xml:space="preserve"> CLEAR table</w:t>
            </w:r>
          </w:p>
        </w:tc>
      </w:tr>
      <w:tr w:rsidR="008B55EA" w:rsidRPr="00F307ED" w:rsidTr="008B55EA">
        <w:trPr>
          <w:trHeight w:val="255"/>
          <w:jc w:val="center"/>
        </w:trPr>
        <w:tc>
          <w:tcPr>
            <w:tcW w:w="2808" w:type="dxa"/>
            <w:tcBorders>
              <w:top w:val="single" w:sz="6" w:space="0" w:color="auto"/>
              <w:bottom w:val="single" w:sz="6" w:space="0" w:color="auto"/>
            </w:tcBorders>
            <w:noWrap/>
          </w:tcPr>
          <w:p w:rsidR="008B55EA" w:rsidRPr="008B55EA" w:rsidRDefault="008B55EA" w:rsidP="008B55EA">
            <w:pPr>
              <w:rPr>
                <w:b/>
                <w:sz w:val="24"/>
              </w:rPr>
            </w:pPr>
            <w:r w:rsidRPr="008B55EA">
              <w:rPr>
                <w:b/>
                <w:sz w:val="24"/>
              </w:rPr>
              <w:t xml:space="preserve">  Collision</w:t>
            </w:r>
          </w:p>
        </w:tc>
        <w:tc>
          <w:tcPr>
            <w:tcW w:w="1657" w:type="dxa"/>
            <w:tcBorders>
              <w:top w:val="single" w:sz="6" w:space="0" w:color="auto"/>
              <w:bottom w:val="single" w:sz="6" w:space="0" w:color="auto"/>
            </w:tcBorders>
          </w:tcPr>
          <w:p w:rsidR="008B55EA" w:rsidRPr="008B55EA" w:rsidRDefault="008B55EA" w:rsidP="008B55EA">
            <w:pPr>
              <w:jc w:val="center"/>
              <w:rPr>
                <w:sz w:val="24"/>
              </w:rPr>
            </w:pPr>
            <w:r w:rsidRPr="008B55EA">
              <w:rPr>
                <w:sz w:val="24"/>
              </w:rPr>
              <w:t>+2.24%</w:t>
            </w:r>
          </w:p>
        </w:tc>
        <w:tc>
          <w:tcPr>
            <w:tcW w:w="1920" w:type="dxa"/>
            <w:tcBorders>
              <w:top w:val="single" w:sz="6" w:space="0" w:color="auto"/>
              <w:bottom w:val="single" w:sz="6" w:space="0" w:color="auto"/>
            </w:tcBorders>
            <w:shd w:val="clear" w:color="auto" w:fill="auto"/>
            <w:noWrap/>
          </w:tcPr>
          <w:p w:rsidR="008B55EA" w:rsidRPr="008B55EA" w:rsidRDefault="008B55EA" w:rsidP="008B55EA">
            <w:pPr>
              <w:jc w:val="center"/>
              <w:rPr>
                <w:sz w:val="24"/>
              </w:rPr>
            </w:pPr>
            <w:r w:rsidRPr="008B55EA">
              <w:rPr>
                <w:sz w:val="24"/>
              </w:rPr>
              <w:t>+4.50%</w:t>
            </w:r>
          </w:p>
        </w:tc>
        <w:tc>
          <w:tcPr>
            <w:tcW w:w="3110" w:type="dxa"/>
            <w:tcBorders>
              <w:top w:val="single" w:sz="6" w:space="0" w:color="auto"/>
              <w:bottom w:val="single" w:sz="6" w:space="0" w:color="auto"/>
            </w:tcBorders>
            <w:shd w:val="clear" w:color="auto" w:fill="auto"/>
            <w:noWrap/>
          </w:tcPr>
          <w:p w:rsidR="008B55EA" w:rsidRPr="008B55EA" w:rsidRDefault="008B55EA" w:rsidP="008B55EA">
            <w:pPr>
              <w:jc w:val="center"/>
              <w:rPr>
                <w:sz w:val="24"/>
              </w:rPr>
            </w:pPr>
            <w:r w:rsidRPr="008B55EA">
              <w:rPr>
                <w:sz w:val="24"/>
              </w:rPr>
              <w:t>+1.50%</w:t>
            </w:r>
          </w:p>
        </w:tc>
      </w:tr>
      <w:tr w:rsidR="008B55EA" w:rsidRPr="00F307ED" w:rsidTr="008B55EA">
        <w:trPr>
          <w:trHeight w:val="255"/>
          <w:jc w:val="center"/>
        </w:trPr>
        <w:tc>
          <w:tcPr>
            <w:tcW w:w="2808" w:type="dxa"/>
            <w:tcBorders>
              <w:top w:val="single" w:sz="6" w:space="0" w:color="auto"/>
              <w:bottom w:val="single" w:sz="6" w:space="0" w:color="auto"/>
            </w:tcBorders>
            <w:noWrap/>
          </w:tcPr>
          <w:p w:rsidR="008B55EA" w:rsidRPr="008B55EA" w:rsidRDefault="008B55EA" w:rsidP="008B55EA">
            <w:pPr>
              <w:rPr>
                <w:b/>
                <w:sz w:val="24"/>
              </w:rPr>
            </w:pPr>
            <w:r w:rsidRPr="008B55EA">
              <w:rPr>
                <w:b/>
                <w:sz w:val="24"/>
              </w:rPr>
              <w:t xml:space="preserve">  Comprehensive</w:t>
            </w:r>
          </w:p>
        </w:tc>
        <w:tc>
          <w:tcPr>
            <w:tcW w:w="1657" w:type="dxa"/>
            <w:tcBorders>
              <w:top w:val="single" w:sz="6" w:space="0" w:color="auto"/>
              <w:bottom w:val="single" w:sz="6" w:space="0" w:color="auto"/>
            </w:tcBorders>
          </w:tcPr>
          <w:p w:rsidR="008B55EA" w:rsidRPr="008B55EA" w:rsidRDefault="008B55EA" w:rsidP="008B55EA">
            <w:pPr>
              <w:jc w:val="center"/>
              <w:rPr>
                <w:sz w:val="24"/>
              </w:rPr>
            </w:pPr>
            <w:r w:rsidRPr="008B55EA">
              <w:rPr>
                <w:sz w:val="24"/>
              </w:rPr>
              <w:t>+3.68%</w:t>
            </w:r>
          </w:p>
        </w:tc>
        <w:tc>
          <w:tcPr>
            <w:tcW w:w="1920" w:type="dxa"/>
            <w:tcBorders>
              <w:top w:val="single" w:sz="6" w:space="0" w:color="auto"/>
              <w:bottom w:val="single" w:sz="6" w:space="0" w:color="auto"/>
            </w:tcBorders>
            <w:shd w:val="clear" w:color="auto" w:fill="auto"/>
            <w:noWrap/>
          </w:tcPr>
          <w:p w:rsidR="008B55EA" w:rsidRPr="008B55EA" w:rsidRDefault="008B55EA" w:rsidP="008B55EA">
            <w:pPr>
              <w:jc w:val="center"/>
              <w:rPr>
                <w:sz w:val="24"/>
              </w:rPr>
            </w:pPr>
            <w:r w:rsidRPr="008B55EA">
              <w:rPr>
                <w:sz w:val="24"/>
              </w:rPr>
              <w:t>+7.00%</w:t>
            </w:r>
          </w:p>
        </w:tc>
        <w:tc>
          <w:tcPr>
            <w:tcW w:w="3110" w:type="dxa"/>
            <w:tcBorders>
              <w:top w:val="single" w:sz="6" w:space="0" w:color="auto"/>
              <w:bottom w:val="single" w:sz="6" w:space="0" w:color="auto"/>
            </w:tcBorders>
            <w:shd w:val="clear" w:color="auto" w:fill="auto"/>
            <w:noWrap/>
          </w:tcPr>
          <w:p w:rsidR="008B55EA" w:rsidRPr="008B55EA" w:rsidRDefault="008B55EA" w:rsidP="008B55EA">
            <w:pPr>
              <w:jc w:val="center"/>
              <w:rPr>
                <w:sz w:val="24"/>
              </w:rPr>
            </w:pPr>
            <w:r w:rsidRPr="008B55EA">
              <w:rPr>
                <w:sz w:val="24"/>
              </w:rPr>
              <w:t>+2.00%</w:t>
            </w:r>
          </w:p>
        </w:tc>
      </w:tr>
      <w:tr w:rsidR="008B55EA" w:rsidRPr="00F307ED" w:rsidTr="008B55EA">
        <w:trPr>
          <w:trHeight w:val="255"/>
          <w:jc w:val="center"/>
        </w:trPr>
        <w:tc>
          <w:tcPr>
            <w:tcW w:w="2808" w:type="dxa"/>
            <w:tcBorders>
              <w:top w:val="single" w:sz="6" w:space="0" w:color="auto"/>
              <w:bottom w:val="single" w:sz="6" w:space="0" w:color="auto"/>
            </w:tcBorders>
            <w:noWrap/>
          </w:tcPr>
          <w:p w:rsidR="008B55EA" w:rsidRPr="008B55EA" w:rsidRDefault="008B55EA" w:rsidP="008B55EA">
            <w:pPr>
              <w:rPr>
                <w:b/>
                <w:sz w:val="24"/>
              </w:rPr>
            </w:pPr>
            <w:r w:rsidRPr="008B55EA">
              <w:rPr>
                <w:b/>
                <w:sz w:val="24"/>
              </w:rPr>
              <w:t xml:space="preserve">  DCPD</w:t>
            </w:r>
          </w:p>
        </w:tc>
        <w:tc>
          <w:tcPr>
            <w:tcW w:w="1657" w:type="dxa"/>
            <w:tcBorders>
              <w:top w:val="single" w:sz="6" w:space="0" w:color="auto"/>
              <w:bottom w:val="single" w:sz="6" w:space="0" w:color="auto"/>
            </w:tcBorders>
          </w:tcPr>
          <w:p w:rsidR="008B55EA" w:rsidRPr="008B55EA" w:rsidRDefault="008B55EA" w:rsidP="008B55EA">
            <w:pPr>
              <w:jc w:val="center"/>
              <w:rPr>
                <w:sz w:val="24"/>
              </w:rPr>
            </w:pPr>
            <w:r w:rsidRPr="008B55EA">
              <w:rPr>
                <w:sz w:val="24"/>
              </w:rPr>
              <w:t>+3.33%</w:t>
            </w:r>
          </w:p>
        </w:tc>
        <w:tc>
          <w:tcPr>
            <w:tcW w:w="1920" w:type="dxa"/>
            <w:tcBorders>
              <w:top w:val="single" w:sz="6" w:space="0" w:color="auto"/>
              <w:bottom w:val="single" w:sz="6" w:space="0" w:color="auto"/>
            </w:tcBorders>
            <w:shd w:val="clear" w:color="auto" w:fill="auto"/>
            <w:noWrap/>
          </w:tcPr>
          <w:p w:rsidR="008B55EA" w:rsidRPr="008B55EA" w:rsidRDefault="008B55EA" w:rsidP="008B55EA">
            <w:pPr>
              <w:jc w:val="center"/>
              <w:rPr>
                <w:sz w:val="24"/>
              </w:rPr>
            </w:pPr>
            <w:r w:rsidRPr="008B55EA">
              <w:rPr>
                <w:sz w:val="24"/>
              </w:rPr>
              <w:t>+9.00%</w:t>
            </w:r>
          </w:p>
        </w:tc>
        <w:tc>
          <w:tcPr>
            <w:tcW w:w="3110" w:type="dxa"/>
            <w:tcBorders>
              <w:top w:val="single" w:sz="6" w:space="0" w:color="auto"/>
              <w:bottom w:val="single" w:sz="6" w:space="0" w:color="auto"/>
            </w:tcBorders>
            <w:shd w:val="clear" w:color="auto" w:fill="auto"/>
            <w:noWrap/>
          </w:tcPr>
          <w:p w:rsidR="008B55EA" w:rsidRPr="008B55EA" w:rsidRDefault="008B55EA" w:rsidP="008B55EA">
            <w:pPr>
              <w:jc w:val="center"/>
              <w:rPr>
                <w:sz w:val="24"/>
              </w:rPr>
            </w:pPr>
            <w:r w:rsidRPr="008B55EA">
              <w:rPr>
                <w:sz w:val="24"/>
              </w:rPr>
              <w:t>+4.00%</w:t>
            </w:r>
          </w:p>
        </w:tc>
      </w:tr>
      <w:tr w:rsidR="008B55EA" w:rsidRPr="00F307ED" w:rsidTr="008B55EA">
        <w:trPr>
          <w:trHeight w:val="255"/>
          <w:jc w:val="center"/>
        </w:trPr>
        <w:tc>
          <w:tcPr>
            <w:tcW w:w="2808" w:type="dxa"/>
            <w:tcBorders>
              <w:top w:val="single" w:sz="6" w:space="0" w:color="auto"/>
              <w:bottom w:val="single" w:sz="6" w:space="0" w:color="auto"/>
            </w:tcBorders>
            <w:noWrap/>
          </w:tcPr>
          <w:p w:rsidR="008B55EA" w:rsidRPr="008B55EA" w:rsidRDefault="008B55EA" w:rsidP="008B55EA">
            <w:pPr>
              <w:rPr>
                <w:b/>
                <w:sz w:val="24"/>
              </w:rPr>
            </w:pPr>
            <w:r w:rsidRPr="008B55EA">
              <w:rPr>
                <w:b/>
                <w:sz w:val="24"/>
              </w:rPr>
              <w:t xml:space="preserve">  All Perils</w:t>
            </w:r>
          </w:p>
        </w:tc>
        <w:tc>
          <w:tcPr>
            <w:tcW w:w="1657" w:type="dxa"/>
            <w:tcBorders>
              <w:top w:val="single" w:sz="6" w:space="0" w:color="auto"/>
              <w:bottom w:val="single" w:sz="6" w:space="0" w:color="auto"/>
            </w:tcBorders>
          </w:tcPr>
          <w:p w:rsidR="008B55EA" w:rsidRPr="008B55EA" w:rsidRDefault="008B55EA" w:rsidP="008B55EA">
            <w:pPr>
              <w:jc w:val="center"/>
              <w:rPr>
                <w:sz w:val="24"/>
              </w:rPr>
            </w:pPr>
            <w:r w:rsidRPr="008B55EA">
              <w:rPr>
                <w:sz w:val="24"/>
              </w:rPr>
              <w:t>+2.67%</w:t>
            </w:r>
          </w:p>
        </w:tc>
        <w:tc>
          <w:tcPr>
            <w:tcW w:w="1920" w:type="dxa"/>
            <w:tcBorders>
              <w:top w:val="single" w:sz="6" w:space="0" w:color="auto"/>
              <w:bottom w:val="single" w:sz="6" w:space="0" w:color="auto"/>
            </w:tcBorders>
            <w:shd w:val="clear" w:color="auto" w:fill="auto"/>
            <w:noWrap/>
          </w:tcPr>
          <w:p w:rsidR="008B55EA" w:rsidRPr="008B55EA" w:rsidRDefault="008B55EA" w:rsidP="008B55EA">
            <w:pPr>
              <w:jc w:val="center"/>
              <w:rPr>
                <w:sz w:val="24"/>
              </w:rPr>
            </w:pPr>
            <w:r w:rsidRPr="008B55EA">
              <w:rPr>
                <w:sz w:val="24"/>
              </w:rPr>
              <w:t>+5.25%</w:t>
            </w:r>
          </w:p>
        </w:tc>
        <w:tc>
          <w:tcPr>
            <w:tcW w:w="3110" w:type="dxa"/>
            <w:tcBorders>
              <w:top w:val="single" w:sz="6" w:space="0" w:color="auto"/>
              <w:bottom w:val="single" w:sz="6" w:space="0" w:color="auto"/>
            </w:tcBorders>
            <w:shd w:val="clear" w:color="auto" w:fill="auto"/>
            <w:noWrap/>
          </w:tcPr>
          <w:p w:rsidR="008B55EA" w:rsidRPr="008B55EA" w:rsidRDefault="008B55EA" w:rsidP="008B55EA">
            <w:pPr>
              <w:jc w:val="center"/>
              <w:rPr>
                <w:sz w:val="24"/>
              </w:rPr>
            </w:pPr>
            <w:r w:rsidRPr="008B55EA">
              <w:rPr>
                <w:sz w:val="24"/>
              </w:rPr>
              <w:t>+1.60%</w:t>
            </w:r>
          </w:p>
        </w:tc>
      </w:tr>
      <w:tr w:rsidR="008B55EA" w:rsidRPr="00F307ED" w:rsidTr="008B55EA">
        <w:trPr>
          <w:trHeight w:val="255"/>
          <w:jc w:val="center"/>
        </w:trPr>
        <w:tc>
          <w:tcPr>
            <w:tcW w:w="2808" w:type="dxa"/>
            <w:tcBorders>
              <w:top w:val="single" w:sz="6" w:space="0" w:color="auto"/>
              <w:bottom w:val="single" w:sz="6" w:space="0" w:color="auto"/>
            </w:tcBorders>
            <w:noWrap/>
          </w:tcPr>
          <w:p w:rsidR="008B55EA" w:rsidRPr="008B55EA" w:rsidRDefault="008B55EA" w:rsidP="008B55EA">
            <w:pPr>
              <w:rPr>
                <w:b/>
                <w:sz w:val="24"/>
              </w:rPr>
            </w:pPr>
            <w:r w:rsidRPr="008B55EA">
              <w:rPr>
                <w:b/>
                <w:sz w:val="24"/>
              </w:rPr>
              <w:t xml:space="preserve">  Specified Perils</w:t>
            </w:r>
          </w:p>
        </w:tc>
        <w:tc>
          <w:tcPr>
            <w:tcW w:w="1657" w:type="dxa"/>
            <w:tcBorders>
              <w:top w:val="single" w:sz="6" w:space="0" w:color="auto"/>
              <w:bottom w:val="single" w:sz="6" w:space="0" w:color="auto"/>
            </w:tcBorders>
          </w:tcPr>
          <w:p w:rsidR="008B55EA" w:rsidRPr="008B55EA" w:rsidRDefault="008B55EA" w:rsidP="008B55EA">
            <w:pPr>
              <w:jc w:val="center"/>
              <w:rPr>
                <w:sz w:val="24"/>
              </w:rPr>
            </w:pPr>
            <w:r w:rsidRPr="008B55EA">
              <w:rPr>
                <w:sz w:val="24"/>
              </w:rPr>
              <w:t>+3.68%</w:t>
            </w:r>
          </w:p>
        </w:tc>
        <w:tc>
          <w:tcPr>
            <w:tcW w:w="1920" w:type="dxa"/>
            <w:tcBorders>
              <w:top w:val="single" w:sz="6" w:space="0" w:color="auto"/>
              <w:bottom w:val="single" w:sz="6" w:space="0" w:color="auto"/>
            </w:tcBorders>
            <w:shd w:val="clear" w:color="auto" w:fill="auto"/>
            <w:noWrap/>
          </w:tcPr>
          <w:p w:rsidR="008B55EA" w:rsidRPr="008B55EA" w:rsidRDefault="008B55EA" w:rsidP="008B55EA">
            <w:pPr>
              <w:jc w:val="center"/>
              <w:rPr>
                <w:sz w:val="24"/>
              </w:rPr>
            </w:pPr>
            <w:r w:rsidRPr="008B55EA">
              <w:rPr>
                <w:sz w:val="24"/>
              </w:rPr>
              <w:t>+7.00%</w:t>
            </w:r>
          </w:p>
        </w:tc>
        <w:tc>
          <w:tcPr>
            <w:tcW w:w="3110" w:type="dxa"/>
            <w:tcBorders>
              <w:top w:val="single" w:sz="6" w:space="0" w:color="auto"/>
              <w:bottom w:val="single" w:sz="6" w:space="0" w:color="auto"/>
            </w:tcBorders>
            <w:shd w:val="clear" w:color="auto" w:fill="auto"/>
            <w:noWrap/>
          </w:tcPr>
          <w:p w:rsidR="008B55EA" w:rsidRPr="008B55EA" w:rsidRDefault="008B55EA" w:rsidP="008B55EA">
            <w:pPr>
              <w:jc w:val="center"/>
              <w:rPr>
                <w:sz w:val="24"/>
              </w:rPr>
            </w:pPr>
            <w:r w:rsidRPr="008B55EA">
              <w:rPr>
                <w:sz w:val="24"/>
              </w:rPr>
              <w:t>+2.00%</w:t>
            </w:r>
          </w:p>
        </w:tc>
      </w:tr>
      <w:tr w:rsidR="008B55EA" w:rsidRPr="00F307ED" w:rsidTr="008B55EA">
        <w:trPr>
          <w:trHeight w:val="255"/>
          <w:jc w:val="center"/>
        </w:trPr>
        <w:tc>
          <w:tcPr>
            <w:tcW w:w="2808" w:type="dxa"/>
            <w:tcBorders>
              <w:top w:val="single" w:sz="6" w:space="0" w:color="auto"/>
              <w:bottom w:val="thinThickSmallGap" w:sz="24" w:space="0" w:color="auto"/>
            </w:tcBorders>
            <w:noWrap/>
          </w:tcPr>
          <w:p w:rsidR="008B55EA" w:rsidRPr="008B55EA" w:rsidRDefault="008B55EA" w:rsidP="008B55EA">
            <w:pPr>
              <w:rPr>
                <w:b/>
                <w:sz w:val="24"/>
              </w:rPr>
            </w:pPr>
            <w:r w:rsidRPr="008B55EA">
              <w:rPr>
                <w:b/>
                <w:sz w:val="24"/>
              </w:rPr>
              <w:t xml:space="preserve">  Accident Benefits</w:t>
            </w:r>
          </w:p>
        </w:tc>
        <w:tc>
          <w:tcPr>
            <w:tcW w:w="1657" w:type="dxa"/>
            <w:tcBorders>
              <w:top w:val="single" w:sz="6" w:space="0" w:color="auto"/>
              <w:bottom w:val="thinThickSmallGap" w:sz="24" w:space="0" w:color="auto"/>
            </w:tcBorders>
          </w:tcPr>
          <w:p w:rsidR="008B55EA" w:rsidRPr="008B55EA" w:rsidRDefault="008B55EA" w:rsidP="008B55EA">
            <w:pPr>
              <w:jc w:val="center"/>
              <w:rPr>
                <w:sz w:val="24"/>
              </w:rPr>
            </w:pPr>
            <w:r w:rsidRPr="008B55EA">
              <w:rPr>
                <w:sz w:val="24"/>
              </w:rPr>
              <w:t>+0.79%</w:t>
            </w:r>
          </w:p>
        </w:tc>
        <w:tc>
          <w:tcPr>
            <w:tcW w:w="1920" w:type="dxa"/>
            <w:tcBorders>
              <w:top w:val="single" w:sz="6" w:space="0" w:color="auto"/>
              <w:bottom w:val="thinThickSmallGap" w:sz="24" w:space="0" w:color="auto"/>
            </w:tcBorders>
            <w:shd w:val="clear" w:color="auto" w:fill="auto"/>
            <w:noWrap/>
          </w:tcPr>
          <w:p w:rsidR="008B55EA" w:rsidRPr="008B55EA" w:rsidRDefault="008B55EA" w:rsidP="008B55EA">
            <w:pPr>
              <w:jc w:val="center"/>
              <w:rPr>
                <w:sz w:val="24"/>
              </w:rPr>
            </w:pPr>
            <w:r w:rsidRPr="008B55EA">
              <w:rPr>
                <w:sz w:val="24"/>
              </w:rPr>
              <w:t>+3.00%</w:t>
            </w:r>
          </w:p>
        </w:tc>
        <w:tc>
          <w:tcPr>
            <w:tcW w:w="3110" w:type="dxa"/>
            <w:tcBorders>
              <w:top w:val="single" w:sz="6" w:space="0" w:color="auto"/>
              <w:bottom w:val="thinThickSmallGap" w:sz="24" w:space="0" w:color="auto"/>
            </w:tcBorders>
            <w:shd w:val="clear" w:color="auto" w:fill="auto"/>
            <w:noWrap/>
          </w:tcPr>
          <w:p w:rsidR="008B55EA" w:rsidRPr="008B55EA" w:rsidRDefault="008B55EA" w:rsidP="008B55EA">
            <w:pPr>
              <w:jc w:val="center"/>
              <w:rPr>
                <w:sz w:val="24"/>
              </w:rPr>
            </w:pPr>
            <w:r w:rsidRPr="008B55EA">
              <w:rPr>
                <w:sz w:val="24"/>
              </w:rPr>
              <w:t>+1.70%</w:t>
            </w:r>
          </w:p>
        </w:tc>
      </w:tr>
    </w:tbl>
    <w:p w:rsidR="00F307ED" w:rsidRPr="00F307ED" w:rsidRDefault="00F307ED" w:rsidP="00F307ED">
      <w:pPr>
        <w:rPr>
          <w:color w:val="000000"/>
          <w:sz w:val="24"/>
          <w:szCs w:val="24"/>
        </w:rPr>
      </w:pPr>
    </w:p>
    <w:p w:rsidR="00F307ED" w:rsidRPr="00F307ED" w:rsidRDefault="00F307ED" w:rsidP="00892032">
      <w:pPr>
        <w:jc w:val="both"/>
        <w:rPr>
          <w:sz w:val="24"/>
          <w:szCs w:val="24"/>
        </w:rPr>
      </w:pPr>
      <w:r w:rsidRPr="00F307ED">
        <w:rPr>
          <w:sz w:val="24"/>
          <w:szCs w:val="24"/>
        </w:rPr>
        <w:t xml:space="preserve">The Board anticipates, given mandatory filing requires a private passenger filing once every two years, that at most </w:t>
      </w:r>
      <w:r w:rsidR="0034777D">
        <w:rPr>
          <w:sz w:val="24"/>
          <w:szCs w:val="24"/>
        </w:rPr>
        <w:t>one</w:t>
      </w:r>
      <w:r w:rsidRPr="00F307ED">
        <w:rPr>
          <w:sz w:val="24"/>
          <w:szCs w:val="24"/>
        </w:rPr>
        <w:t xml:space="preserve"> year of premium trend and loss trend may not be reflected in rates for those companies who have not had a rate filing approved with a</w:t>
      </w:r>
      <w:r w:rsidR="004A7755">
        <w:rPr>
          <w:sz w:val="24"/>
          <w:szCs w:val="24"/>
        </w:rPr>
        <w:t xml:space="preserve"> renewal </w:t>
      </w:r>
      <w:r w:rsidRPr="00F307ED">
        <w:rPr>
          <w:sz w:val="24"/>
          <w:szCs w:val="24"/>
        </w:rPr>
        <w:t xml:space="preserve">effective date within </w:t>
      </w:r>
      <w:r w:rsidR="0034777D">
        <w:rPr>
          <w:sz w:val="24"/>
          <w:szCs w:val="24"/>
        </w:rPr>
        <w:t>nine</w:t>
      </w:r>
      <w:r w:rsidRPr="00F307ED">
        <w:rPr>
          <w:sz w:val="24"/>
          <w:szCs w:val="24"/>
        </w:rPr>
        <w:t xml:space="preserve"> months of the Board approval of the 201</w:t>
      </w:r>
      <w:r w:rsidR="008B55EA">
        <w:rPr>
          <w:sz w:val="24"/>
          <w:szCs w:val="24"/>
        </w:rPr>
        <w:t>8</w:t>
      </w:r>
      <w:r w:rsidRPr="00F307ED">
        <w:rPr>
          <w:sz w:val="24"/>
          <w:szCs w:val="24"/>
        </w:rPr>
        <w:t xml:space="preserve"> table.  Therefore, only one year trends are used in the Benchmark Rate Adjustments.</w:t>
      </w:r>
    </w:p>
    <w:p w:rsidR="00F307ED" w:rsidRPr="00F307ED" w:rsidRDefault="00F307ED" w:rsidP="00F307ED">
      <w:pPr>
        <w:rPr>
          <w:sz w:val="24"/>
          <w:szCs w:val="24"/>
        </w:rPr>
      </w:pPr>
    </w:p>
    <w:p w:rsidR="00F307ED" w:rsidRPr="00E42B01" w:rsidRDefault="00E42B01" w:rsidP="00F307ED">
      <w:pPr>
        <w:rPr>
          <w:sz w:val="24"/>
          <w:szCs w:val="22"/>
        </w:rPr>
      </w:pPr>
      <w:r w:rsidRPr="00E42B01">
        <w:rPr>
          <w:sz w:val="24"/>
          <w:szCs w:val="22"/>
        </w:rPr>
        <w:t xml:space="preserve">Please note that CLEAR </w:t>
      </w:r>
      <w:r>
        <w:rPr>
          <w:sz w:val="24"/>
          <w:szCs w:val="22"/>
        </w:rPr>
        <w:t>Benchmark Base Rate</w:t>
      </w:r>
      <w:r w:rsidRPr="00E42B01">
        <w:rPr>
          <w:sz w:val="24"/>
          <w:szCs w:val="22"/>
        </w:rPr>
        <w:t xml:space="preserve"> </w:t>
      </w:r>
      <w:r>
        <w:rPr>
          <w:sz w:val="24"/>
          <w:szCs w:val="22"/>
        </w:rPr>
        <w:t>A</w:t>
      </w:r>
      <w:r w:rsidRPr="00E42B01">
        <w:rPr>
          <w:sz w:val="24"/>
          <w:szCs w:val="22"/>
        </w:rPr>
        <w:t>djustment which result in rate decreases are mandatory by the Board and must be applied in accordance with the above requirements. Base rate adjustments which result in rate increases are optional and may be applied at the discretion of the</w:t>
      </w:r>
      <w:r w:rsidR="00863E25">
        <w:rPr>
          <w:sz w:val="24"/>
          <w:szCs w:val="22"/>
        </w:rPr>
        <w:t xml:space="preserve"> Company</w:t>
      </w:r>
      <w:r w:rsidRPr="00E42B01">
        <w:rPr>
          <w:sz w:val="24"/>
          <w:szCs w:val="22"/>
        </w:rPr>
        <w:t>.</w:t>
      </w:r>
    </w:p>
    <w:sectPr w:rsidR="00F307ED" w:rsidRPr="00E42B01" w:rsidSect="003909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CCF" w:rsidRDefault="00655CCF" w:rsidP="00972401">
      <w:r>
        <w:separator/>
      </w:r>
    </w:p>
  </w:endnote>
  <w:endnote w:type="continuationSeparator" w:id="0">
    <w:p w:rsidR="00655CCF" w:rsidRDefault="00655CCF" w:rsidP="0097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9737"/>
      <w:docPartObj>
        <w:docPartGallery w:val="Page Numbers (Bottom of Page)"/>
        <w:docPartUnique/>
      </w:docPartObj>
    </w:sdtPr>
    <w:sdtEndPr/>
    <w:sdtContent>
      <w:p w:rsidR="00655CCF" w:rsidRDefault="00655CCF" w:rsidP="00753381">
        <w:pPr>
          <w:pStyle w:val="Footer"/>
          <w:jc w:val="right"/>
        </w:pPr>
        <w:r>
          <w:t xml:space="preserve">Document: </w:t>
        </w:r>
        <w:r w:rsidR="004A7755">
          <w:t>2</w:t>
        </w:r>
        <w:r w:rsidR="003E0B99">
          <w:t>60681</w:t>
        </w:r>
        <w:r>
          <w:tab/>
        </w:r>
        <w:r>
          <w:tab/>
          <w:t xml:space="preserve">Page </w:t>
        </w:r>
        <w:r w:rsidR="004A7755">
          <w:fldChar w:fldCharType="begin"/>
        </w:r>
        <w:r w:rsidR="004A7755">
          <w:instrText xml:space="preserve"> PAGE   \* MERGEFORMAT </w:instrText>
        </w:r>
        <w:r w:rsidR="004A7755">
          <w:fldChar w:fldCharType="separate"/>
        </w:r>
        <w:r w:rsidR="002D657C">
          <w:rPr>
            <w:noProof/>
          </w:rPr>
          <w:t>1</w:t>
        </w:r>
        <w:r w:rsidR="004A7755">
          <w:rPr>
            <w:noProof/>
          </w:rPr>
          <w:fldChar w:fldCharType="end"/>
        </w:r>
      </w:p>
    </w:sdtContent>
  </w:sdt>
  <w:p w:rsidR="00655CCF" w:rsidRDefault="00655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CCF" w:rsidRDefault="00655CCF" w:rsidP="00972401">
      <w:r>
        <w:separator/>
      </w:r>
    </w:p>
  </w:footnote>
  <w:footnote w:type="continuationSeparator" w:id="0">
    <w:p w:rsidR="00655CCF" w:rsidRDefault="00655CCF" w:rsidP="00972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7ED" w:rsidRDefault="00F307ED" w:rsidP="00F30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E5E"/>
    <w:multiLevelType w:val="hybridMultilevel"/>
    <w:tmpl w:val="908CF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79A3"/>
    <w:multiLevelType w:val="hybridMultilevel"/>
    <w:tmpl w:val="3C8896CE"/>
    <w:lvl w:ilvl="0" w:tplc="9120F43C">
      <w:start w:val="1"/>
      <w:numFmt w:val="lowerLetter"/>
      <w:lvlText w:val="%1)"/>
      <w:lvlJc w:val="left"/>
      <w:pPr>
        <w:ind w:left="960" w:hanging="9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F61E1"/>
    <w:multiLevelType w:val="hybridMultilevel"/>
    <w:tmpl w:val="23643A70"/>
    <w:lvl w:ilvl="0" w:tplc="453C8526">
      <w:start w:val="1"/>
      <w:numFmt w:val="upperRoman"/>
      <w:pStyle w:val="Heading1"/>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E2543"/>
    <w:multiLevelType w:val="hybridMultilevel"/>
    <w:tmpl w:val="4CE8CAE6"/>
    <w:lvl w:ilvl="0" w:tplc="0F407E34">
      <w:start w:val="1"/>
      <w:numFmt w:val="lowerRoman"/>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D196C"/>
    <w:multiLevelType w:val="hybridMultilevel"/>
    <w:tmpl w:val="0AACD4AE"/>
    <w:lvl w:ilvl="0" w:tplc="33803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7778A"/>
    <w:multiLevelType w:val="hybridMultilevel"/>
    <w:tmpl w:val="87EAB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1591C"/>
    <w:multiLevelType w:val="hybridMultilevel"/>
    <w:tmpl w:val="BE2672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231BEF"/>
    <w:multiLevelType w:val="hybridMultilevel"/>
    <w:tmpl w:val="CE74E4EC"/>
    <w:lvl w:ilvl="0" w:tplc="6B1A3D08">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57FBA"/>
    <w:multiLevelType w:val="hybridMultilevel"/>
    <w:tmpl w:val="C48E0E3A"/>
    <w:lvl w:ilvl="0" w:tplc="37D8A802">
      <w:start w:val="1"/>
      <w:numFmt w:val="lowerLetter"/>
      <w:pStyle w:val="Heading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7"/>
  </w:num>
  <w:num w:numId="3">
    <w:abstractNumId w:val="8"/>
  </w:num>
  <w:num w:numId="4">
    <w:abstractNumId w:val="3"/>
  </w:num>
  <w:num w:numId="5">
    <w:abstractNumId w:val="6"/>
  </w:num>
  <w:num w:numId="6">
    <w:abstractNumId w:val="1"/>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01"/>
    <w:rsid w:val="000168C1"/>
    <w:rsid w:val="000451B9"/>
    <w:rsid w:val="00046935"/>
    <w:rsid w:val="000821F1"/>
    <w:rsid w:val="000B04C6"/>
    <w:rsid w:val="000B37A0"/>
    <w:rsid w:val="000E3978"/>
    <w:rsid w:val="00100CDD"/>
    <w:rsid w:val="001166A7"/>
    <w:rsid w:val="00123E5D"/>
    <w:rsid w:val="00141455"/>
    <w:rsid w:val="00145DC4"/>
    <w:rsid w:val="0016097D"/>
    <w:rsid w:val="0016256E"/>
    <w:rsid w:val="00163488"/>
    <w:rsid w:val="0016769D"/>
    <w:rsid w:val="00172523"/>
    <w:rsid w:val="00185D5E"/>
    <w:rsid w:val="001C3BD5"/>
    <w:rsid w:val="001E5E00"/>
    <w:rsid w:val="002257AC"/>
    <w:rsid w:val="00227846"/>
    <w:rsid w:val="00242327"/>
    <w:rsid w:val="00245AEF"/>
    <w:rsid w:val="00274A10"/>
    <w:rsid w:val="00276AC8"/>
    <w:rsid w:val="002D657C"/>
    <w:rsid w:val="002E07C8"/>
    <w:rsid w:val="00303371"/>
    <w:rsid w:val="0034777D"/>
    <w:rsid w:val="003719B4"/>
    <w:rsid w:val="00376FBA"/>
    <w:rsid w:val="003909F6"/>
    <w:rsid w:val="003C67EB"/>
    <w:rsid w:val="003E0B99"/>
    <w:rsid w:val="00400BC9"/>
    <w:rsid w:val="0044318C"/>
    <w:rsid w:val="004A7755"/>
    <w:rsid w:val="004C232D"/>
    <w:rsid w:val="004E503C"/>
    <w:rsid w:val="004F0471"/>
    <w:rsid w:val="004F76C3"/>
    <w:rsid w:val="004F7E96"/>
    <w:rsid w:val="00501EC9"/>
    <w:rsid w:val="005248CD"/>
    <w:rsid w:val="005624E9"/>
    <w:rsid w:val="00577790"/>
    <w:rsid w:val="00584C02"/>
    <w:rsid w:val="005A216F"/>
    <w:rsid w:val="005A43EC"/>
    <w:rsid w:val="005B2388"/>
    <w:rsid w:val="005C1BEB"/>
    <w:rsid w:val="005C2220"/>
    <w:rsid w:val="005C33F3"/>
    <w:rsid w:val="005C68F2"/>
    <w:rsid w:val="005D1AD2"/>
    <w:rsid w:val="005E47AD"/>
    <w:rsid w:val="00621632"/>
    <w:rsid w:val="00636EF7"/>
    <w:rsid w:val="00655CCF"/>
    <w:rsid w:val="00690FDD"/>
    <w:rsid w:val="006A7282"/>
    <w:rsid w:val="006E4650"/>
    <w:rsid w:val="00724ABE"/>
    <w:rsid w:val="00750E3E"/>
    <w:rsid w:val="00750EBE"/>
    <w:rsid w:val="00753381"/>
    <w:rsid w:val="007B7B25"/>
    <w:rsid w:val="007D3BE2"/>
    <w:rsid w:val="00834E4F"/>
    <w:rsid w:val="00846D22"/>
    <w:rsid w:val="00863E25"/>
    <w:rsid w:val="00883D84"/>
    <w:rsid w:val="0088421E"/>
    <w:rsid w:val="00892032"/>
    <w:rsid w:val="008B06C9"/>
    <w:rsid w:val="008B55EA"/>
    <w:rsid w:val="008D5DAF"/>
    <w:rsid w:val="008D6A85"/>
    <w:rsid w:val="008E62F9"/>
    <w:rsid w:val="00902C80"/>
    <w:rsid w:val="00922052"/>
    <w:rsid w:val="00933CCD"/>
    <w:rsid w:val="009435C5"/>
    <w:rsid w:val="00952068"/>
    <w:rsid w:val="00956071"/>
    <w:rsid w:val="0096748E"/>
    <w:rsid w:val="00972401"/>
    <w:rsid w:val="009807AD"/>
    <w:rsid w:val="009815CA"/>
    <w:rsid w:val="009823FB"/>
    <w:rsid w:val="0099097A"/>
    <w:rsid w:val="009B65A5"/>
    <w:rsid w:val="00A07D73"/>
    <w:rsid w:val="00A46D48"/>
    <w:rsid w:val="00A63509"/>
    <w:rsid w:val="00A82AC0"/>
    <w:rsid w:val="00A8566E"/>
    <w:rsid w:val="00B22FAB"/>
    <w:rsid w:val="00B41E2E"/>
    <w:rsid w:val="00B506FF"/>
    <w:rsid w:val="00B87D97"/>
    <w:rsid w:val="00BD183A"/>
    <w:rsid w:val="00BE2437"/>
    <w:rsid w:val="00BE39CA"/>
    <w:rsid w:val="00BE4EF9"/>
    <w:rsid w:val="00BF4D08"/>
    <w:rsid w:val="00BF5C97"/>
    <w:rsid w:val="00BF7B74"/>
    <w:rsid w:val="00C123BC"/>
    <w:rsid w:val="00C32852"/>
    <w:rsid w:val="00C44CDF"/>
    <w:rsid w:val="00C83840"/>
    <w:rsid w:val="00CA0513"/>
    <w:rsid w:val="00CF286A"/>
    <w:rsid w:val="00D8109D"/>
    <w:rsid w:val="00DB1CA2"/>
    <w:rsid w:val="00DE6FA7"/>
    <w:rsid w:val="00E05303"/>
    <w:rsid w:val="00E25A23"/>
    <w:rsid w:val="00E3568C"/>
    <w:rsid w:val="00E42B01"/>
    <w:rsid w:val="00E52269"/>
    <w:rsid w:val="00E75F5A"/>
    <w:rsid w:val="00E764D5"/>
    <w:rsid w:val="00E82CF0"/>
    <w:rsid w:val="00E84E21"/>
    <w:rsid w:val="00EA0183"/>
    <w:rsid w:val="00EA2FFC"/>
    <w:rsid w:val="00EA5A50"/>
    <w:rsid w:val="00EB32B8"/>
    <w:rsid w:val="00EC79B8"/>
    <w:rsid w:val="00EE5B90"/>
    <w:rsid w:val="00EF7981"/>
    <w:rsid w:val="00F307ED"/>
    <w:rsid w:val="00F64CE9"/>
    <w:rsid w:val="00F912A6"/>
    <w:rsid w:val="00F9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C29A5"/>
  <w15:docId w15:val="{A4D7D4F9-A30F-4FA0-B59C-790A7ADD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68C1"/>
    <w:pPr>
      <w:autoSpaceDE w:val="0"/>
      <w:autoSpaceDN w:val="0"/>
      <w:adjustRightInd w:val="0"/>
    </w:pPr>
    <w:rPr>
      <w:rFonts w:cs="Arial"/>
    </w:rPr>
  </w:style>
  <w:style w:type="paragraph" w:styleId="Heading1">
    <w:name w:val="heading 1"/>
    <w:basedOn w:val="Normal"/>
    <w:next w:val="Normal"/>
    <w:link w:val="Heading1Char"/>
    <w:uiPriority w:val="9"/>
    <w:qFormat/>
    <w:rsid w:val="00A63509"/>
    <w:pPr>
      <w:keepNext/>
      <w:numPr>
        <w:numId w:val="1"/>
      </w:numPr>
      <w:spacing w:after="60"/>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A63509"/>
    <w:pPr>
      <w:keepNext/>
      <w:numPr>
        <w:numId w:val="2"/>
      </w:numPr>
      <w:spacing w:after="60"/>
      <w:outlineLvl w:val="1"/>
    </w:pPr>
    <w:rPr>
      <w:rFonts w:eastAsia="Times New Roman"/>
      <w:b/>
      <w:bCs/>
      <w:iCs/>
      <w:szCs w:val="28"/>
    </w:rPr>
  </w:style>
  <w:style w:type="paragraph" w:styleId="Heading3">
    <w:name w:val="heading 3"/>
    <w:basedOn w:val="Normal"/>
    <w:next w:val="Normal"/>
    <w:link w:val="Heading3Char"/>
    <w:uiPriority w:val="9"/>
    <w:unhideWhenUsed/>
    <w:qFormat/>
    <w:rsid w:val="00A63509"/>
    <w:pPr>
      <w:keepNext/>
      <w:numPr>
        <w:numId w:val="3"/>
      </w:numPr>
      <w:spacing w:after="60"/>
      <w:outlineLvl w:val="2"/>
    </w:pPr>
    <w:rPr>
      <w:rFonts w:eastAsia="Times New Roman"/>
      <w:b/>
      <w:bCs/>
      <w:szCs w:val="26"/>
    </w:rPr>
  </w:style>
  <w:style w:type="paragraph" w:styleId="Heading4">
    <w:name w:val="heading 4"/>
    <w:basedOn w:val="Normal"/>
    <w:next w:val="Normal"/>
    <w:link w:val="Heading4Char"/>
    <w:uiPriority w:val="9"/>
    <w:unhideWhenUsed/>
    <w:qFormat/>
    <w:rsid w:val="00A63509"/>
    <w:pPr>
      <w:keepNext/>
      <w:keepLines/>
      <w:numPr>
        <w:numId w:val="4"/>
      </w:numPr>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509"/>
    <w:rPr>
      <w:rFonts w:eastAsia="Times New Roman"/>
      <w:b/>
      <w:bCs/>
      <w:kern w:val="32"/>
      <w:sz w:val="24"/>
      <w:szCs w:val="32"/>
    </w:rPr>
  </w:style>
  <w:style w:type="character" w:customStyle="1" w:styleId="Heading2Char">
    <w:name w:val="Heading 2 Char"/>
    <w:basedOn w:val="DefaultParagraphFont"/>
    <w:link w:val="Heading2"/>
    <w:uiPriority w:val="9"/>
    <w:rsid w:val="00A63509"/>
    <w:rPr>
      <w:rFonts w:eastAsia="Times New Roman"/>
      <w:b/>
      <w:bCs/>
      <w:iCs/>
      <w:sz w:val="24"/>
      <w:szCs w:val="28"/>
    </w:rPr>
  </w:style>
  <w:style w:type="character" w:customStyle="1" w:styleId="Heading3Char">
    <w:name w:val="Heading 3 Char"/>
    <w:basedOn w:val="DefaultParagraphFont"/>
    <w:link w:val="Heading3"/>
    <w:uiPriority w:val="9"/>
    <w:rsid w:val="00A63509"/>
    <w:rPr>
      <w:rFonts w:eastAsia="Times New Roman"/>
      <w:b/>
      <w:bCs/>
      <w:sz w:val="24"/>
      <w:szCs w:val="26"/>
    </w:rPr>
  </w:style>
  <w:style w:type="character" w:customStyle="1" w:styleId="Heading4Char">
    <w:name w:val="Heading 4 Char"/>
    <w:basedOn w:val="DefaultParagraphFont"/>
    <w:link w:val="Heading4"/>
    <w:uiPriority w:val="9"/>
    <w:rsid w:val="00A63509"/>
    <w:rPr>
      <w:rFonts w:eastAsiaTheme="majorEastAsia" w:cstheme="majorBidi"/>
      <w:b/>
      <w:bCs/>
      <w:iCs/>
      <w:sz w:val="24"/>
      <w:szCs w:val="22"/>
    </w:rPr>
  </w:style>
  <w:style w:type="paragraph" w:styleId="ListParagraph">
    <w:name w:val="List Paragraph"/>
    <w:basedOn w:val="Normal"/>
    <w:uiPriority w:val="34"/>
    <w:qFormat/>
    <w:rsid w:val="00A63509"/>
    <w:pPr>
      <w:spacing w:after="200" w:line="276" w:lineRule="auto"/>
      <w:ind w:left="720"/>
      <w:contextualSpacing/>
    </w:pPr>
    <w:rPr>
      <w:rFonts w:asciiTheme="minorHAnsi" w:eastAsiaTheme="minorHAnsi" w:hAnsiTheme="minorHAnsi" w:cstheme="minorBidi"/>
      <w:sz w:val="22"/>
    </w:rPr>
  </w:style>
  <w:style w:type="paragraph" w:styleId="Quote">
    <w:name w:val="Quote"/>
    <w:basedOn w:val="Normal"/>
    <w:next w:val="Normal"/>
    <w:link w:val="QuoteChar"/>
    <w:uiPriority w:val="29"/>
    <w:qFormat/>
    <w:rsid w:val="00A63509"/>
    <w:pPr>
      <w:ind w:left="720" w:right="720"/>
    </w:pPr>
    <w:rPr>
      <w:iCs/>
      <w:color w:val="000000"/>
    </w:rPr>
  </w:style>
  <w:style w:type="character" w:customStyle="1" w:styleId="QuoteChar">
    <w:name w:val="Quote Char"/>
    <w:basedOn w:val="DefaultParagraphFont"/>
    <w:link w:val="Quote"/>
    <w:uiPriority w:val="29"/>
    <w:rsid w:val="00A63509"/>
    <w:rPr>
      <w:iCs/>
      <w:color w:val="000000"/>
      <w:szCs w:val="22"/>
    </w:rPr>
  </w:style>
  <w:style w:type="paragraph" w:styleId="IntenseQuote">
    <w:name w:val="Intense Quote"/>
    <w:aliases w:val="Exhibit"/>
    <w:basedOn w:val="Normal"/>
    <w:next w:val="Normal"/>
    <w:link w:val="IntenseQuoteChar"/>
    <w:uiPriority w:val="30"/>
    <w:qFormat/>
    <w:rsid w:val="00A63509"/>
    <w:pPr>
      <w:spacing w:before="200" w:after="280"/>
      <w:ind w:right="720"/>
      <w:jc w:val="right"/>
    </w:pPr>
    <w:rPr>
      <w:bCs/>
      <w:iCs/>
      <w:color w:val="000000"/>
    </w:rPr>
  </w:style>
  <w:style w:type="character" w:customStyle="1" w:styleId="IntenseQuoteChar">
    <w:name w:val="Intense Quote Char"/>
    <w:aliases w:val="Exhibit Char"/>
    <w:basedOn w:val="DefaultParagraphFont"/>
    <w:link w:val="IntenseQuote"/>
    <w:uiPriority w:val="30"/>
    <w:rsid w:val="00A63509"/>
    <w:rPr>
      <w:bCs/>
      <w:iCs/>
      <w:color w:val="000000"/>
      <w:szCs w:val="22"/>
    </w:rPr>
  </w:style>
  <w:style w:type="paragraph" w:styleId="Header">
    <w:name w:val="header"/>
    <w:basedOn w:val="Normal"/>
    <w:link w:val="HeaderChar"/>
    <w:unhideWhenUsed/>
    <w:rsid w:val="00972401"/>
    <w:pPr>
      <w:tabs>
        <w:tab w:val="center" w:pos="4680"/>
        <w:tab w:val="right" w:pos="9360"/>
      </w:tabs>
    </w:pPr>
  </w:style>
  <w:style w:type="character" w:customStyle="1" w:styleId="HeaderChar">
    <w:name w:val="Header Char"/>
    <w:basedOn w:val="DefaultParagraphFont"/>
    <w:link w:val="Header"/>
    <w:uiPriority w:val="99"/>
    <w:semiHidden/>
    <w:rsid w:val="00972401"/>
    <w:rPr>
      <w:sz w:val="24"/>
      <w:szCs w:val="22"/>
    </w:rPr>
  </w:style>
  <w:style w:type="paragraph" w:styleId="Footer">
    <w:name w:val="footer"/>
    <w:basedOn w:val="Normal"/>
    <w:link w:val="FooterChar"/>
    <w:uiPriority w:val="99"/>
    <w:unhideWhenUsed/>
    <w:rsid w:val="00972401"/>
    <w:pPr>
      <w:tabs>
        <w:tab w:val="center" w:pos="4680"/>
        <w:tab w:val="right" w:pos="9360"/>
      </w:tabs>
    </w:pPr>
  </w:style>
  <w:style w:type="character" w:customStyle="1" w:styleId="FooterChar">
    <w:name w:val="Footer Char"/>
    <w:basedOn w:val="DefaultParagraphFont"/>
    <w:link w:val="Footer"/>
    <w:uiPriority w:val="99"/>
    <w:rsid w:val="00972401"/>
    <w:rPr>
      <w:sz w:val="24"/>
      <w:szCs w:val="22"/>
    </w:rPr>
  </w:style>
  <w:style w:type="character" w:styleId="Hyperlink">
    <w:name w:val="Hyperlink"/>
    <w:basedOn w:val="DefaultParagraphFont"/>
    <w:uiPriority w:val="99"/>
    <w:unhideWhenUsed/>
    <w:rsid w:val="00D8109D"/>
    <w:rPr>
      <w:color w:val="0000FF"/>
      <w:u w:val="single"/>
    </w:rPr>
  </w:style>
  <w:style w:type="character" w:styleId="FollowedHyperlink">
    <w:name w:val="FollowedHyperlink"/>
    <w:basedOn w:val="DefaultParagraphFont"/>
    <w:uiPriority w:val="99"/>
    <w:semiHidden/>
    <w:unhideWhenUsed/>
    <w:rsid w:val="00D8109D"/>
    <w:rPr>
      <w:color w:val="800080" w:themeColor="followedHyperlink"/>
      <w:u w:val="single"/>
    </w:rPr>
  </w:style>
  <w:style w:type="paragraph" w:styleId="BalloonText">
    <w:name w:val="Balloon Text"/>
    <w:basedOn w:val="Normal"/>
    <w:link w:val="BalloonTextChar"/>
    <w:uiPriority w:val="99"/>
    <w:semiHidden/>
    <w:unhideWhenUsed/>
    <w:rsid w:val="00F307ED"/>
    <w:rPr>
      <w:rFonts w:ascii="Tahoma" w:hAnsi="Tahoma" w:cs="Tahoma"/>
      <w:sz w:val="16"/>
      <w:szCs w:val="16"/>
    </w:rPr>
  </w:style>
  <w:style w:type="character" w:customStyle="1" w:styleId="BalloonTextChar">
    <w:name w:val="Balloon Text Char"/>
    <w:basedOn w:val="DefaultParagraphFont"/>
    <w:link w:val="BalloonText"/>
    <w:uiPriority w:val="99"/>
    <w:semiHidden/>
    <w:rsid w:val="00F30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NSUARB</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Cotnam</dc:creator>
  <cp:keywords/>
  <dc:description/>
  <cp:lastModifiedBy>Cotnam, Barry</cp:lastModifiedBy>
  <cp:revision>8</cp:revision>
  <cp:lastPrinted>2018-02-07T19:56:00Z</cp:lastPrinted>
  <dcterms:created xsi:type="dcterms:W3CDTF">2018-02-07T19:41:00Z</dcterms:created>
  <dcterms:modified xsi:type="dcterms:W3CDTF">2018-02-21T13:25:00Z</dcterms:modified>
</cp:coreProperties>
</file>